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Worksheet W5 – Your Audited Plan (Module 6)</w:t>
      </w:r>
    </w:p>
    <w:p>
      <w:pPr/>
      <w:r>
        <w:t xml:space="preserve">Nov 5, 2026</w:t>
      </w:r>
      <w:r>
        <w:t xml:space="preserve"> · </w:t>
      </w:r>
      <w:r>
        <w:t xml:space="preserve">@Zurina</w:t>
      </w:r>
    </w:p>
    <w:p>
      <w:pPr>
        <w:pStyle w:val="Heading2"/>
      </w:pPr>
      <w:r>
        <w:t xml:space="preserve">How to use this worksheet</w:t>
      </w:r>
    </w:p>
    <w:p>
      <w:pPr/>
      <w:r>
        <w:t xml:space="preserve">Use this worksheet with the Module 6 activity (Sinergi Workbench, sections 08 to 10). It is optional and not graded. You need Worksheets W1 to W4. When you finish, you hold a complete Collaboration assessment plan for your course.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316"/>
        <w:gridCol w:w="2043"/>
      </w:tblGrid>
      <w:tr>
        <w:trPr>
          <w:tblHeader/>
        </w:trPr>
        <w:tc>
          <w:tcPr>
            <w:tcW w:w="7316" w:type="dxa"/>
            <w:shd w:val="clear" w:color="auto" w:fill="F2F2F2"/>
          </w:tcPr>
          <w:p>
            <w:pPr/>
            <w:r>
              <w:t xml:space="preserve">Your details</w:t>
            </w:r>
          </w:p>
        </w:tc>
        <w:tc>
          <w:tcPr>
            <w:tcW w:w="2043" w:type="dxa"/>
            <w:shd w:val="clear" w:color="auto" w:fill="F2F2F2"/>
          </w:tcPr>
          <w:p>
            <w:pPr/>
          </w:p>
        </w:tc>
      </w:tr>
      <w:tr>
        <w:tc>
          <w:tcPr>
            <w:tcW w:w="7316" w:type="dxa"/>
          </w:tcPr>
          <w:p>
            <w:pPr/>
            <w:r>
              <w:t xml:space="preserve">Name</w:t>
            </w:r>
          </w:p>
        </w:tc>
        <w:tc>
          <w:tcPr>
            <w:tcW w:w="2043" w:type="dxa"/>
          </w:tcPr>
          <w:p>
            <w:pPr/>
          </w:p>
        </w:tc>
      </w:tr>
      <w:tr>
        <w:tc>
          <w:tcPr>
            <w:tcW w:w="7316" w:type="dxa"/>
          </w:tcPr>
          <w:p>
            <w:pPr/>
            <w:r>
              <w:t xml:space="preserve">Institution</w:t>
            </w:r>
          </w:p>
        </w:tc>
        <w:tc>
          <w:tcPr>
            <w:tcW w:w="2043" w:type="dxa"/>
          </w:tcPr>
          <w:p>
            <w:pPr/>
          </w:p>
        </w:tc>
      </w:tr>
      <w:tr>
        <w:tc>
          <w:tcPr>
            <w:tcW w:w="7316" w:type="dxa"/>
          </w:tcPr>
          <w:p>
            <w:pPr/>
            <w:r>
              <w:t xml:space="preserve">Course code and name</w:t>
            </w:r>
          </w:p>
        </w:tc>
        <w:tc>
          <w:tcPr>
            <w:tcW w:w="2043" w:type="dxa"/>
          </w:tcPr>
          <w:p>
            <w:pPr/>
          </w:p>
        </w:tc>
      </w:tr>
    </w:tbl>
    <w:p>
      <w:pPr>
        <w:pStyle w:val="Heading2"/>
      </w:pPr>
      <w:r>
        <w:t xml:space="preserve">Part A – The alignment chain</w:t>
      </w:r>
    </w:p>
    <w:p>
      <w:pPr/>
      <w:r>
        <w:t xml:space="preserve">Only the course learning outcome is assessed directly. The SDG and the programme outcome are claims, traced through it to a named criterion and a marked script. Fill each link from top to bottom.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397"/>
        <w:gridCol w:w="1962"/>
      </w:tblGrid>
      <w:tr>
        <w:trPr>
          <w:tblHeader/>
        </w:trPr>
        <w:tc>
          <w:tcPr>
            <w:tcW w:w="7397" w:type="dxa"/>
            <w:shd w:val="clear" w:color="auto" w:fill="F2F2F2"/>
          </w:tcPr>
          <w:p>
            <w:pPr/>
            <w:r>
              <w:t xml:space="preserve">Link</w:t>
            </w:r>
          </w:p>
        </w:tc>
        <w:tc>
          <w:tcPr>
            <w:tcW w:w="1962" w:type="dxa"/>
            <w:shd w:val="clear" w:color="auto" w:fill="F2F2F2"/>
          </w:tcPr>
          <w:p>
            <w:pPr/>
            <w:r>
              <w:t xml:space="preserve">Your entry</w:t>
            </w:r>
          </w:p>
        </w:tc>
      </w:tr>
      <w:tr>
        <w:tc>
          <w:tcPr>
            <w:tcW w:w="7397" w:type="dxa"/>
          </w:tcPr>
          <w:p>
            <w:pPr/>
            <w:r>
              <w:t xml:space="preserve">Primary SDG (one goal only)</w:t>
            </w:r>
          </w:p>
        </w:tc>
        <w:tc>
          <w:tcPr>
            <w:tcW w:w="1962" w:type="dxa"/>
          </w:tcPr>
          <w:p>
            <w:pPr/>
          </w:p>
        </w:tc>
      </w:tr>
      <w:tr>
        <w:tc>
          <w:tcPr>
            <w:tcW w:w="7397" w:type="dxa"/>
          </w:tcPr>
          <w:p>
            <w:pPr/>
            <w:r>
              <w:t xml:space="preserve">Programme learning outcome (PLO)</w:t>
            </w:r>
          </w:p>
        </w:tc>
        <w:tc>
          <w:tcPr>
            <w:tcW w:w="1962" w:type="dxa"/>
          </w:tcPr>
          <w:p>
            <w:pPr/>
          </w:p>
        </w:tc>
      </w:tr>
      <w:tr>
        <w:tc>
          <w:tcPr>
            <w:tcW w:w="7397" w:type="dxa"/>
          </w:tcPr>
          <w:p>
            <w:pPr/>
            <w:r>
              <w:t xml:space="preserve">Course learning outcome (CLO), with an observable verb</w:t>
            </w:r>
          </w:p>
        </w:tc>
        <w:tc>
          <w:tcPr>
            <w:tcW w:w="1962" w:type="dxa"/>
          </w:tcPr>
          <w:p>
            <w:pPr/>
          </w:p>
        </w:tc>
      </w:tr>
      <w:tr>
        <w:tc>
          <w:tcPr>
            <w:tcW w:w="7397" w:type="dxa"/>
          </w:tcPr>
          <w:p>
            <w:pPr/>
            <w:r>
              <w:t xml:space="preserve">Rubric criteria that assess the CLO</w:t>
            </w:r>
          </w:p>
        </w:tc>
        <w:tc>
          <w:tcPr>
            <w:tcW w:w="1962" w:type="dxa"/>
          </w:tcPr>
          <w:p>
            <w:pPr/>
          </w:p>
        </w:tc>
      </w:tr>
      <w:tr>
        <w:tc>
          <w:tcPr>
            <w:tcW w:w="7397" w:type="dxa"/>
          </w:tcPr>
          <w:p>
            <w:pPr/>
            <w:r>
              <w:t xml:space="preserve">Brief clauses that ask for the evidence</w:t>
            </w:r>
          </w:p>
        </w:tc>
        <w:tc>
          <w:tcPr>
            <w:tcW w:w="1962" w:type="dxa"/>
          </w:tcPr>
          <w:p>
            <w:pPr/>
          </w:p>
        </w:tc>
      </w:tr>
      <w:tr>
        <w:tc>
          <w:tcPr>
            <w:tcW w:w="7397" w:type="dxa"/>
          </w:tcPr>
          <w:p>
            <w:pPr/>
            <w:r>
              <w:t xml:space="preserve">The marked document an auditor will see for one named student</w:t>
            </w:r>
          </w:p>
        </w:tc>
        <w:tc>
          <w:tcPr>
            <w:tcW w:w="1962" w:type="dxa"/>
          </w:tcPr>
          <w:p>
            <w:pPr/>
          </w:p>
        </w:tc>
      </w:tr>
    </w:tbl>
    <w:p>
      <w:pPr>
        <w:pStyle w:val="Heading2"/>
      </w:pPr>
      <w:r>
        <w:t xml:space="preserve">Part B – Audit your design</w:t>
      </w:r>
    </w:p>
    <w:p>
      <w:pPr/>
      <w:r>
        <w:t xml:space="preserve">Check your design against the five ways a Collaboration claim fails at audit. Write the smallest fix for any failure you find.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659"/>
        <w:gridCol w:w="3576"/>
        <w:gridCol w:w="1391"/>
        <w:gridCol w:w="1185"/>
        <w:gridCol w:w="1549"/>
      </w:tblGrid>
      <w:tr>
        <w:trPr>
          <w:tblHeader/>
        </w:trPr>
        <w:tc>
          <w:tcPr>
            <w:tcW w:w="1659" w:type="dxa"/>
            <w:shd w:val="clear" w:color="auto" w:fill="F2F2F2"/>
          </w:tcPr>
          <w:p>
            <w:pPr/>
            <w:r>
              <w:t xml:space="preserve">Failure</w:t>
            </w:r>
          </w:p>
        </w:tc>
        <w:tc>
          <w:tcPr>
            <w:tcW w:w="3576" w:type="dxa"/>
            <w:shd w:val="clear" w:color="auto" w:fill="F2F2F2"/>
          </w:tcPr>
          <w:p>
            <w:pPr/>
            <w:r>
              <w:t xml:space="preserve">What the auditor sees</w:t>
            </w:r>
          </w:p>
        </w:tc>
        <w:tc>
          <w:tcPr>
            <w:tcW w:w="1391" w:type="dxa"/>
            <w:shd w:val="clear" w:color="auto" w:fill="F2F2F2"/>
          </w:tcPr>
          <w:p>
            <w:pPr/>
            <w:r>
              <w:t xml:space="preserve">Caught by</w:t>
            </w:r>
          </w:p>
        </w:tc>
        <w:tc>
          <w:tcPr>
            <w:tcW w:w="1185" w:type="dxa"/>
            <w:shd w:val="clear" w:color="auto" w:fill="F2F2F2"/>
          </w:tcPr>
          <w:p>
            <w:pPr/>
            <w:r>
              <w:t xml:space="preserve">Does my design fail? (Yes/No)</w:t>
            </w:r>
          </w:p>
        </w:tc>
        <w:tc>
          <w:tcPr>
            <w:tcW w:w="1549" w:type="dxa"/>
            <w:shd w:val="clear" w:color="auto" w:fill="F2F2F2"/>
          </w:tcPr>
          <w:p>
            <w:pPr/>
            <w:r>
              <w:t xml:space="preserve">Smallest fix</w:t>
            </w:r>
          </w:p>
        </w:tc>
      </w:tr>
      <w:tr>
        <w:tc>
          <w:tcPr>
            <w:tcW w:w="1659" w:type="dxa"/>
          </w:tcPr>
          <w:p>
            <w:pPr/>
            <w:r>
              <w:t xml:space="preserve">Competency named, not required</w:t>
            </w:r>
          </w:p>
        </w:tc>
        <w:tc>
          <w:tcPr>
            <w:tcW w:w="3576" w:type="dxa"/>
          </w:tcPr>
          <w:p>
            <w:pPr/>
            <w:r>
              <w:t xml:space="preserve">Collaboration is in the syllabus but no assignment requires it</w:t>
            </w:r>
          </w:p>
        </w:tc>
        <w:tc>
          <w:tcPr>
            <w:tcW w:w="1391" w:type="dxa"/>
          </w:tcPr>
          <w:p>
            <w:pPr/>
            <w:r>
              <w:t xml:space="preserve">The one rule</w:t>
            </w:r>
          </w:p>
        </w:tc>
        <w:tc>
          <w:tcPr>
            <w:tcW w:w="1185" w:type="dxa"/>
          </w:tcPr>
          <w:p>
            <w:pPr/>
          </w:p>
        </w:tc>
        <w:tc>
          <w:tcPr>
            <w:tcW w:w="1549" w:type="dxa"/>
          </w:tcPr>
          <w:p>
            <w:pPr/>
          </w:p>
        </w:tc>
      </w:tr>
      <w:tr>
        <w:tc>
          <w:tcPr>
            <w:tcW w:w="1659" w:type="dxa"/>
          </w:tcPr>
          <w:p>
            <w:pPr/>
            <w:r>
              <w:t xml:space="preserve">Assignment misses the competency</w:t>
            </w:r>
          </w:p>
        </w:tc>
        <w:tc>
          <w:tcPr>
            <w:tcW w:w="3576" w:type="dxa"/>
          </w:tcPr>
          <w:p>
            <w:pPr/>
            <w:r>
              <w:t xml:space="preserve">The group report is there; the individual account is not</w:t>
            </w:r>
          </w:p>
        </w:tc>
        <w:tc>
          <w:tcPr>
            <w:tcW w:w="1391" w:type="dxa"/>
          </w:tcPr>
          <w:p>
            <w:pPr/>
            <w:r>
              <w:t xml:space="preserve">The attribution test</w:t>
            </w:r>
          </w:p>
        </w:tc>
        <w:tc>
          <w:tcPr>
            <w:tcW w:w="1185" w:type="dxa"/>
          </w:tcPr>
          <w:p>
            <w:pPr/>
          </w:p>
        </w:tc>
        <w:tc>
          <w:tcPr>
            <w:tcW w:w="1549" w:type="dxa"/>
          </w:tcPr>
          <w:p>
            <w:pPr/>
          </w:p>
        </w:tc>
      </w:tr>
      <w:tr>
        <w:tc>
          <w:tcPr>
            <w:tcW w:w="1659" w:type="dxa"/>
          </w:tcPr>
          <w:p>
            <w:pPr/>
            <w:r>
              <w:t xml:space="preserve">Rubric not published</w:t>
            </w:r>
          </w:p>
        </w:tc>
        <w:tc>
          <w:tcPr>
            <w:tcW w:w="3576" w:type="dxa"/>
          </w:tcPr>
          <w:p>
            <w:pPr/>
            <w:r>
              <w:t xml:space="preserve">Criteria written at marking time</w:t>
            </w:r>
          </w:p>
        </w:tc>
        <w:tc>
          <w:tcPr>
            <w:tcW w:w="1391" w:type="dxa"/>
          </w:tcPr>
          <w:p>
            <w:pPr/>
            <w:r>
              <w:t xml:space="preserve">Fourth rubric fault</w:t>
            </w:r>
          </w:p>
        </w:tc>
        <w:tc>
          <w:tcPr>
            <w:tcW w:w="1185" w:type="dxa"/>
          </w:tcPr>
          <w:p>
            <w:pPr/>
          </w:p>
        </w:tc>
        <w:tc>
          <w:tcPr>
            <w:tcW w:w="1549" w:type="dxa"/>
          </w:tcPr>
          <w:p>
            <w:pPr/>
          </w:p>
        </w:tc>
      </w:tr>
      <w:tr>
        <w:tc>
          <w:tcPr>
            <w:tcW w:w="1659" w:type="dxa"/>
          </w:tcPr>
          <w:p>
            <w:pPr/>
            <w:r>
              <w:t xml:space="preserve">Levels not defended</w:t>
            </w:r>
          </w:p>
        </w:tc>
        <w:tc>
          <w:tcPr>
            <w:tcW w:w="3576" w:type="dxa"/>
          </w:tcPr>
          <w:p>
            <w:pPr/>
            <w:r>
              <w:t xml:space="preserve">Two markers cannot agree on level 3 versus level 4, and no written clarification exists</w:t>
            </w:r>
          </w:p>
        </w:tc>
        <w:tc>
          <w:tcPr>
            <w:tcW w:w="1391" w:type="dxa"/>
          </w:tcPr>
          <w:p>
            <w:pPr/>
            <w:r>
              <w:t xml:space="preserve">Moderation</w:t>
            </w:r>
          </w:p>
        </w:tc>
        <w:tc>
          <w:tcPr>
            <w:tcW w:w="1185" w:type="dxa"/>
          </w:tcPr>
          <w:p>
            <w:pPr/>
          </w:p>
        </w:tc>
        <w:tc>
          <w:tcPr>
            <w:tcW w:w="1549" w:type="dxa"/>
          </w:tcPr>
          <w:p>
            <w:pPr/>
          </w:p>
        </w:tc>
      </w:tr>
      <w:tr>
        <w:tc>
          <w:tcPr>
            <w:tcW w:w="1659" w:type="dxa"/>
          </w:tcPr>
          <w:p>
            <w:pPr/>
            <w:r>
              <w:t xml:space="preserve">No individual attribution</w:t>
            </w:r>
          </w:p>
        </w:tc>
        <w:tc>
          <w:tcPr>
            <w:tcW w:w="3576" w:type="dxa"/>
          </w:tcPr>
          <w:p>
            <w:pPr/>
            <w:r>
              <w:t xml:space="preserve">All group members at the same level, with no document explaining why</w:t>
            </w:r>
          </w:p>
        </w:tc>
        <w:tc>
          <w:tcPr>
            <w:tcW w:w="1391" w:type="dxa"/>
          </w:tcPr>
          <w:p>
            <w:pPr/>
            <w:r>
              <w:t xml:space="preserve">The individual evidence rule</w:t>
            </w:r>
          </w:p>
        </w:tc>
        <w:tc>
          <w:tcPr>
            <w:tcW w:w="1185" w:type="dxa"/>
          </w:tcPr>
          <w:p>
            <w:pPr/>
          </w:p>
        </w:tc>
        <w:tc>
          <w:tcPr>
            <w:tcW w:w="1549" w:type="dxa"/>
          </w:tcPr>
          <w:p>
            <w:pPr/>
          </w:p>
        </w:tc>
      </w:tr>
    </w:tbl>
    <w:p>
      <w:pPr/>
      <w:r>
        <w:t xml:space="preserve">Two further failures to avoid:</w:t>
      </w:r>
    </w:p>
    <w:p>
      <w:pPr>
        <w:pStyle w:val="ListParagraph"/>
        <w:numPr>
          <w:ilvl w:val="0"/>
          <w:numId w:val="2"/>
        </w:numPr>
      </w:pPr>
      <w:r>
        <w:t xml:space="preserve">☐ </w:t>
      </w:r>
      <w:r>
        <w:rPr>
          <w:b/>
          <w:bCs/>
        </w:rPr>
        <w:t xml:space="preserve">SDG as decoration:</w:t>
      </w:r>
      <w:r>
        <w:t xml:space="preserve"> a goal logo on the outline with nothing in the content connecting to it.</w:t>
      </w:r>
    </w:p>
    <w:p>
      <w:pPr>
        <w:pStyle w:val="ListParagraph"/>
        <w:numPr>
          <w:ilvl w:val="0"/>
          <w:numId w:val="2"/>
        </w:numPr>
      </w:pPr>
      <w:r>
        <w:t xml:space="preserve">☐ </w:t>
      </w:r>
      <w:r>
        <w:rPr>
          <w:b/>
          <w:bCs/>
        </w:rPr>
        <w:t xml:space="preserve">One CLO, five SDGs:</w:t>
      </w:r>
      <w:r>
        <w:t xml:space="preserve"> broad mapping that dilutes everything and evidences nothing.</w:t>
      </w:r>
    </w:p>
    <w:p>
      <w:pPr>
        <w:pStyle w:val="Heading2"/>
      </w:pPr>
      <w:r>
        <w:t xml:space="preserve">Part C – Your semester schedule</w:t>
      </w:r>
    </w:p>
    <w:p>
      <w:pPr/>
      <w:r>
        <w:t xml:space="preserve">The suggested weeks assume a 14-week semester. Adjust them to your course and write your own week in the last column.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215"/>
        <w:gridCol w:w="5605"/>
        <w:gridCol w:w="1539"/>
      </w:tblGrid>
      <w:tr>
        <w:trPr>
          <w:tblHeader/>
        </w:trPr>
        <w:tc>
          <w:tcPr>
            <w:tcW w:w="2215" w:type="dxa"/>
            <w:shd w:val="clear" w:color="auto" w:fill="F2F2F2"/>
          </w:tcPr>
          <w:p>
            <w:pPr/>
            <w:r>
              <w:t xml:space="preserve">Suggested week</w:t>
            </w:r>
          </w:p>
        </w:tc>
        <w:tc>
          <w:tcPr>
            <w:tcW w:w="5605" w:type="dxa"/>
            <w:shd w:val="clear" w:color="auto" w:fill="F2F2F2"/>
          </w:tcPr>
          <w:p>
            <w:pPr/>
            <w:r>
              <w:t xml:space="preserve">What you do</w:t>
            </w:r>
          </w:p>
        </w:tc>
        <w:tc>
          <w:tcPr>
            <w:tcW w:w="1539" w:type="dxa"/>
            <w:shd w:val="clear" w:color="auto" w:fill="F2F2F2"/>
          </w:tcPr>
          <w:p>
            <w:pPr/>
            <w:r>
              <w:t xml:space="preserve">Your week</w:t>
            </w:r>
          </w:p>
        </w:tc>
      </w:tr>
      <w:tr>
        <w:tc>
          <w:tcPr>
            <w:tcW w:w="2215" w:type="dxa"/>
          </w:tcPr>
          <w:p>
            <w:pPr/>
            <w:r>
              <w:t xml:space="preserve">Before semester</w:t>
            </w:r>
          </w:p>
        </w:tc>
        <w:tc>
          <w:tcPr>
            <w:tcW w:w="5605" w:type="dxa"/>
          </w:tcPr>
          <w:p>
            <w:pPr/>
            <w:r>
              <w:t xml:space="preserve">Publish the rubric in the course outline, descriptors already adapted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 1</w:t>
            </w:r>
          </w:p>
        </w:tc>
        <w:tc>
          <w:tcPr>
            <w:tcW w:w="5605" w:type="dxa"/>
          </w:tcPr>
          <w:p>
            <w:pPr/>
            <w:r>
              <w:t xml:space="preserve">Tell students the competency in plain language, and that a group event will produce an individual mark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 4</w:t>
            </w:r>
          </w:p>
        </w:tc>
        <w:tc>
          <w:tcPr>
            <w:tcW w:w="5605" w:type="dxa"/>
          </w:tcPr>
          <w:p>
            <w:pPr/>
            <w:r>
              <w:t xml:space="preserve">Release the brief with the rubric; record the date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 5</w:t>
            </w:r>
          </w:p>
        </w:tc>
        <w:tc>
          <w:tcPr>
            <w:tcW w:w="5605" w:type="dxa"/>
          </w:tcPr>
          <w:p>
            <w:pPr/>
            <w:r>
              <w:t xml:space="preserve">Practice activity with self-assessment and one-sentence feedback; no mark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 9</w:t>
            </w:r>
          </w:p>
        </w:tc>
        <w:tc>
          <w:tcPr>
            <w:tcW w:w="5605" w:type="dxa"/>
          </w:tcPr>
          <w:p>
            <w:pPr/>
            <w:r>
              <w:t xml:space="preserve">Assessed activity: same rubric, different scenario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 11</w:t>
            </w:r>
          </w:p>
        </w:tc>
        <w:tc>
          <w:tcPr>
            <w:tcW w:w="5605" w:type="dxa"/>
          </w:tcPr>
          <w:p>
            <w:pPr/>
            <w:r>
              <w:t xml:space="preserve">Individual submission</w:t>
            </w:r>
          </w:p>
        </w:tc>
        <w:tc>
          <w:tcPr>
            <w:tcW w:w="1539" w:type="dxa"/>
          </w:tcPr>
          <w:p>
            <w:pPr/>
          </w:p>
        </w:tc>
      </w:tr>
      <w:tr>
        <w:tc>
          <w:tcPr>
            <w:tcW w:w="2215" w:type="dxa"/>
          </w:tcPr>
          <w:p>
            <w:pPr/>
            <w:r>
              <w:t xml:space="preserve">Weeks 12–13</w:t>
            </w:r>
          </w:p>
        </w:tc>
        <w:tc>
          <w:tcPr>
            <w:tcW w:w="5605" w:type="dxa"/>
          </w:tcPr>
          <w:p>
            <w:pPr/>
            <w:r>
              <w:t xml:space="preserve">Mark, then second-mark a 10% sample and every borderline case</w:t>
            </w:r>
          </w:p>
        </w:tc>
        <w:tc>
          <w:tcPr>
            <w:tcW w:w="1539" w:type="dxa"/>
          </w:tcPr>
          <w:p>
            <w:pPr/>
          </w:p>
        </w:tc>
      </w:tr>
    </w:tbl>
    <w:p>
      <w:pPr>
        <w:pStyle w:val="Heading2"/>
      </w:pPr>
      <w:r>
        <w:t xml:space="preserve">Part D – Moderation plan</w:t>
      </w:r>
    </w:p>
    <w:p>
      <w:pPr/>
      <w:r>
        <w:t xml:space="preserve">A plan with no named second marker is an intention, not a plan.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494"/>
        <w:gridCol w:w="1865"/>
      </w:tblGrid>
      <w:tr>
        <w:trPr>
          <w:tblHeader/>
        </w:trPr>
        <w:tc>
          <w:tcPr>
            <w:tcW w:w="7494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1865" w:type="dxa"/>
            <w:shd w:val="clear" w:color="auto" w:fill="F2F2F2"/>
          </w:tcPr>
          <w:p>
            <w:pPr/>
            <w:r>
              <w:t xml:space="preserve">Your plan</w:t>
            </w:r>
          </w:p>
        </w:tc>
      </w:tr>
      <w:tr>
        <w:tc>
          <w:tcPr>
            <w:tcW w:w="7494" w:type="dxa"/>
          </w:tcPr>
          <w:p>
            <w:pPr/>
            <w:r>
              <w:t xml:space="preserve">Name of the colleague who will second-mark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Date of the calibration session (both markers mark the same scripts first)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Size of the second-marked sample (at least 10%, plus every borderline case)</w:t>
            </w:r>
          </w:p>
        </w:tc>
        <w:tc>
          <w:tcPr>
            <w:tcW w:w="1865" w:type="dxa"/>
          </w:tcPr>
          <w:p>
            <w:pPr/>
          </w:p>
        </w:tc>
      </w:tr>
      <w:tr>
        <w:tc>
          <w:tcPr>
            <w:tcW w:w="7494" w:type="dxa"/>
          </w:tcPr>
          <w:p>
            <w:pPr/>
            <w:r>
              <w:t xml:space="preserve">Where disagreements and their resolution will be written down</w:t>
            </w:r>
          </w:p>
        </w:tc>
        <w:tc>
          <w:tcPr>
            <w:tcW w:w="1865" w:type="dxa"/>
          </w:tcPr>
          <w:p>
            <w:pPr/>
          </w:p>
        </w:tc>
      </w:tr>
    </w:tbl>
    <w:p>
      <w:pPr/>
      <w:r>
        <w:t xml:space="preserve">If two markers disagree on a level, write down how the descriptor is to be read. Leave the descriptor itself unchanged.</w:t>
      </w:r>
    </w:p>
    <w:p>
      <w:pPr>
        <w:pStyle w:val="Heading2"/>
      </w:pPr>
      <w:r>
        <w:t xml:space="preserve">Part E – Course-outline paragraph and sign-off</w:t>
      </w:r>
    </w:p>
    <w:p>
      <w:pPr/>
      <w:r>
        <w:t xml:space="preserve">The summary at the end of </w:t>
      </w:r>
      <w:r>
        <w:rPr>
          <w:i/>
          <w:iCs/>
        </w:rPr>
        <w:t xml:space="preserve">My plan</w:t>
      </w:r>
      <w:r>
        <w:t xml:space="preserve"> in the Workbench writes your course-outline paragraph. Paste or rewrite it here.</w:t>
      </w:r>
    </w:p>
    <w:p>
      <w:pPr/>
      <w:r>
        <w:t xml:space="preserve"> </w:t>
      </w:r>
    </w:p>
    <w:p>
      <w:pPr/>
      <w:r>
        <w:rPr>
          <w:b/>
          <w:bCs/>
        </w:rPr>
        <w:t xml:space="preserve">Final check before you use the plan</w:t>
      </w:r>
    </w:p>
    <w:p>
      <w:pPr>
        <w:pStyle w:val="ListParagraph"/>
        <w:numPr>
          <w:ilvl w:val="0"/>
          <w:numId w:val="3"/>
        </w:numPr>
      </w:pPr>
      <w:r>
        <w:t xml:space="preserve">☐ The topic passes the competing-interests test (Worksheet W1).</w:t>
      </w:r>
    </w:p>
    <w:p>
      <w:pPr>
        <w:pStyle w:val="ListParagraph"/>
        <w:numPr>
          <w:ilvl w:val="0"/>
          <w:numId w:val="3"/>
        </w:numPr>
      </w:pPr>
      <w:r>
        <w:t xml:space="preserve">☐ Two linked activities are planned, practice then assessed (Worksheet W2).</w:t>
      </w:r>
    </w:p>
    <w:p>
      <w:pPr>
        <w:pStyle w:val="ListParagraph"/>
        <w:numPr>
          <w:ilvl w:val="0"/>
          <w:numId w:val="3"/>
        </w:numPr>
      </w:pPr>
      <w:r>
        <w:t xml:space="preserve">☐ The brief has four clauses and passes the one rule (Worksheet W3).</w:t>
      </w:r>
    </w:p>
    <w:p>
      <w:pPr>
        <w:pStyle w:val="ListParagraph"/>
        <w:numPr>
          <w:ilvl w:val="0"/>
          <w:numId w:val="3"/>
        </w:numPr>
      </w:pPr>
      <w:r>
        <w:t xml:space="preserve">☐ The rubric is adapted, clear of the four faults and published with the brief (Worksheet W4).</w:t>
      </w:r>
    </w:p>
    <w:p>
      <w:pPr>
        <w:pStyle w:val="ListParagraph"/>
        <w:numPr>
          <w:ilvl w:val="0"/>
          <w:numId w:val="3"/>
        </w:numPr>
      </w:pPr>
      <w:r>
        <w:t xml:space="preserve">☐ Part B shows no unfixed failures, and Part D names a second marker.</w:t>
      </w:r>
    </w:p>
    <w:p>
      <w:pPr/>
      <w:r>
        <w:t xml:space="preserve">Anything produced in the Workbench, including AI-drafted text, is a draft. Read and edit it yourself before using it with students.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Worksheet W5 – Your Audited Plan (Module 6)</dc:title>
  <dc:description>Claude Docs node/56f74796-315d@7 docx-w8</dc:description>
  <cp:revision>7</cp:revision>
</cp:coreProperties>
</file>